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/>
        </w:rPr>
        <w:t>1：</w:t>
      </w:r>
    </w:p>
    <w:p>
      <w:pPr>
        <w:jc w:val="center"/>
        <w:rPr>
          <w:rFonts w:hint="default" w:ascii="黑体" w:hAnsi="黑体" w:eastAsia="黑体" w:cs="宋体"/>
          <w:b/>
          <w:sz w:val="44"/>
          <w:szCs w:val="44"/>
          <w:lang w:val="en-US" w:eastAsia="zh-CN"/>
        </w:rPr>
      </w:pPr>
      <w:r>
        <w:rPr>
          <w:rFonts w:hint="eastAsia" w:ascii="黑体" w:hAnsi="黑体" w:eastAsia="黑体" w:cs="宋体"/>
          <w:b/>
          <w:sz w:val="44"/>
          <w:szCs w:val="44"/>
          <w:lang w:val="en-US" w:eastAsia="zh-CN"/>
        </w:rPr>
        <w:t>全民健身·幸福江西</w:t>
      </w:r>
    </w:p>
    <w:p>
      <w:pPr>
        <w:jc w:val="center"/>
        <w:rPr>
          <w:rFonts w:ascii="黑体" w:hAnsi="黑体" w:eastAsia="黑体" w:cs="宋体"/>
          <w:b/>
          <w:sz w:val="44"/>
          <w:szCs w:val="44"/>
          <w:lang w:val="en-US"/>
        </w:rPr>
      </w:pPr>
      <w:r>
        <w:rPr>
          <w:rFonts w:hint="eastAsia" w:ascii="黑体" w:hAnsi="黑体" w:eastAsia="黑体" w:cs="宋体"/>
          <w:b/>
          <w:sz w:val="44"/>
          <w:szCs w:val="44"/>
          <w:lang w:val="en-US" w:eastAsia="zh-CN"/>
        </w:rPr>
        <w:t>江西省第六届</w:t>
      </w:r>
      <w:r>
        <w:rPr>
          <w:rFonts w:hint="eastAsia" w:ascii="黑体" w:hAnsi="黑体" w:eastAsia="黑体" w:cs="宋体"/>
          <w:b/>
          <w:sz w:val="44"/>
          <w:szCs w:val="44"/>
        </w:rPr>
        <w:t>“</w:t>
      </w:r>
      <w:r>
        <w:rPr>
          <w:rFonts w:hint="eastAsia" w:ascii="黑体" w:hAnsi="黑体" w:eastAsia="黑体" w:cs="宋体"/>
          <w:b/>
          <w:sz w:val="44"/>
          <w:szCs w:val="44"/>
          <w:lang w:val="en-US"/>
        </w:rPr>
        <w:t>国宝李渡·公仆杯</w:t>
      </w:r>
      <w:r>
        <w:rPr>
          <w:rFonts w:hint="eastAsia" w:ascii="黑体" w:hAnsi="黑体" w:eastAsia="黑体" w:cs="宋体"/>
          <w:b/>
          <w:sz w:val="44"/>
          <w:szCs w:val="44"/>
        </w:rPr>
        <w:t>”羽毛球</w:t>
      </w:r>
      <w:r>
        <w:rPr>
          <w:rFonts w:hint="eastAsia" w:ascii="黑体" w:hAnsi="黑体" w:eastAsia="黑体" w:cs="宋体"/>
          <w:b/>
          <w:sz w:val="44"/>
          <w:szCs w:val="44"/>
          <w:lang w:val="en-US" w:eastAsia="zh-CN"/>
        </w:rPr>
        <w:t>联赛总决赛</w:t>
      </w:r>
      <w:r>
        <w:rPr>
          <w:rFonts w:hint="eastAsia" w:ascii="黑体" w:hAnsi="黑体" w:eastAsia="黑体" w:cs="宋体"/>
          <w:b/>
          <w:sz w:val="44"/>
          <w:szCs w:val="44"/>
        </w:rPr>
        <w:t>竞赛规程</w:t>
      </w:r>
    </w:p>
    <w:p>
      <w:pPr>
        <w:pStyle w:val="8"/>
        <w:spacing w:line="560" w:lineRule="exact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  一、指导单位</w:t>
      </w:r>
    </w:p>
    <w:p>
      <w:pPr>
        <w:pStyle w:val="8"/>
        <w:spacing w:line="56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江西省体育总会</w:t>
      </w:r>
    </w:p>
    <w:p>
      <w:pPr>
        <w:pStyle w:val="8"/>
        <w:spacing w:line="56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二、主办单位</w:t>
      </w:r>
    </w:p>
    <w:p>
      <w:pPr>
        <w:pStyle w:val="8"/>
        <w:spacing w:line="560" w:lineRule="exact"/>
        <w:ind w:firstLine="63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江西省羽毛球协会  </w:t>
      </w:r>
    </w:p>
    <w:p>
      <w:pPr>
        <w:pStyle w:val="8"/>
        <w:spacing w:line="56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三、冠名单位</w:t>
      </w:r>
    </w:p>
    <w:p>
      <w:pPr>
        <w:pStyle w:val="8"/>
        <w:spacing w:line="560" w:lineRule="exact"/>
        <w:ind w:firstLine="630"/>
        <w:jc w:val="both"/>
        <w:rPr>
          <w:rFonts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江西李渡酒业销售有限公司</w:t>
      </w:r>
    </w:p>
    <w:p>
      <w:pPr>
        <w:pStyle w:val="8"/>
        <w:spacing w:line="560" w:lineRule="exact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四、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运营</w:t>
      </w:r>
      <w:r>
        <w:rPr>
          <w:rFonts w:hint="eastAsia" w:ascii="黑体" w:hAnsi="黑体" w:eastAsia="黑体" w:cs="黑体"/>
          <w:sz w:val="32"/>
          <w:szCs w:val="32"/>
        </w:rPr>
        <w:t>单位</w:t>
      </w:r>
    </w:p>
    <w:p>
      <w:pPr>
        <w:pStyle w:val="8"/>
        <w:spacing w:line="560" w:lineRule="exact"/>
        <w:ind w:left="64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江西长荣体育文化发展有限公司</w:t>
      </w:r>
    </w:p>
    <w:p>
      <w:pPr>
        <w:pStyle w:val="8"/>
        <w:numPr>
          <w:ilvl w:val="0"/>
          <w:numId w:val="1"/>
        </w:numPr>
        <w:spacing w:line="56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协办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单位</w:t>
      </w:r>
    </w:p>
    <w:p>
      <w:pPr>
        <w:pStyle w:val="8"/>
        <w:spacing w:line="560" w:lineRule="exact"/>
        <w:ind w:left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李宁（中国）体育用品有限公司</w:t>
      </w:r>
    </w:p>
    <w:p>
      <w:pPr>
        <w:pStyle w:val="8"/>
        <w:spacing w:line="560" w:lineRule="exact"/>
        <w:ind w:left="64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长荣羽毛球大厦</w:t>
      </w:r>
    </w:p>
    <w:p>
      <w:pPr>
        <w:pStyle w:val="8"/>
        <w:spacing w:line="56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、参赛人员</w:t>
      </w:r>
    </w:p>
    <w:p>
      <w:pPr>
        <w:pStyle w:val="8"/>
        <w:spacing w:line="560" w:lineRule="exact"/>
        <w:ind w:firstLine="64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江西省党政机关、企事业单位、中央驻赣单位的公务员和职员</w:t>
      </w:r>
    </w:p>
    <w:p>
      <w:pPr>
        <w:pStyle w:val="8"/>
        <w:numPr>
          <w:ilvl w:val="0"/>
          <w:numId w:val="2"/>
        </w:numPr>
        <w:spacing w:line="560" w:lineRule="exact"/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报名参加了各分站赛的参赛队伍、各设区市羽毛球协会、属地为南昌市的企业单位有资格参加总决赛；</w:t>
      </w:r>
    </w:p>
    <w:p>
      <w:pPr>
        <w:pStyle w:val="8"/>
        <w:numPr>
          <w:ilvl w:val="0"/>
          <w:numId w:val="2"/>
        </w:numPr>
        <w:spacing w:line="560" w:lineRule="exact"/>
        <w:ind w:firstLine="64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冠名单位和省羽毛球协会特邀参赛单位。</w:t>
      </w:r>
    </w:p>
    <w:p>
      <w:pPr>
        <w:pStyle w:val="8"/>
        <w:spacing w:line="56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、比赛时间、地点</w:t>
      </w:r>
    </w:p>
    <w:p>
      <w:pPr>
        <w:pStyle w:val="8"/>
        <w:spacing w:line="560" w:lineRule="exact"/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1.比赛时间：202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31日—2023年1月2日</w:t>
      </w:r>
    </w:p>
    <w:p>
      <w:pPr>
        <w:pStyle w:val="8"/>
        <w:spacing w:line="560" w:lineRule="exact"/>
        <w:ind w:firstLine="63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2.比赛地点：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长荣羽毛球大厦（南昌市高新区高新四路888号）</w:t>
      </w:r>
    </w:p>
    <w:p>
      <w:pPr>
        <w:pStyle w:val="8"/>
        <w:spacing w:line="560" w:lineRule="exact"/>
        <w:ind w:firstLine="63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sz w:val="32"/>
          <w:szCs w:val="32"/>
        </w:rPr>
        <w:t>、比赛项目及运动员条件</w:t>
      </w:r>
    </w:p>
    <w:p>
      <w:pPr>
        <w:pStyle w:val="8"/>
        <w:spacing w:line="560" w:lineRule="exact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1.</w:t>
      </w:r>
      <w:r>
        <w:rPr>
          <w:rFonts w:hint="eastAsia" w:ascii="仿宋" w:hAnsi="仿宋" w:eastAsia="仿宋"/>
          <w:color w:val="000000"/>
          <w:sz w:val="32"/>
          <w:szCs w:val="32"/>
        </w:rPr>
        <w:t>甲组团体：双打团体组，依据报名人数，现场抽签确定队伍数量和每队人数。采取大循环赛制，胜方积三分，负方积一分。该组别运动员为江西省副厅级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含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以上干部、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中央驻赣单位领导、省属国有企业高管、</w:t>
      </w:r>
      <w:r>
        <w:rPr>
          <w:rFonts w:hint="eastAsia" w:ascii="仿宋" w:hAnsi="仿宋" w:eastAsia="仿宋"/>
          <w:color w:val="000000"/>
          <w:sz w:val="32"/>
          <w:szCs w:val="32"/>
        </w:rPr>
        <w:t>江西省羽毛球协会副主席以上人员及冠名单位特邀人员。</w:t>
      </w:r>
    </w:p>
    <w:p>
      <w:pPr>
        <w:pStyle w:val="8"/>
        <w:spacing w:line="560" w:lineRule="exact"/>
        <w:ind w:firstLine="648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2.乙组团体：设第一男子双打（46岁及以上），混合双打（不限年龄），第二男子双打（45岁及以下），该组别运动员必须是副处级（含副高职称）以上人员，同一场团体赛运动员不能兼项。</w:t>
      </w:r>
    </w:p>
    <w:p>
      <w:pPr>
        <w:pStyle w:val="8"/>
        <w:spacing w:line="560" w:lineRule="exact"/>
        <w:ind w:firstLine="648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3.丙组团体：设男子双打，女子双打，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混合双打</w:t>
      </w:r>
      <w:r>
        <w:rPr>
          <w:rFonts w:hint="eastAsia" w:ascii="仿宋" w:hAnsi="仿宋" w:eastAsia="仿宋" w:cs="仿宋"/>
          <w:sz w:val="32"/>
          <w:szCs w:val="32"/>
        </w:rPr>
        <w:t>。该组别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分为设区市单位组和省产业单位组，</w:t>
      </w:r>
      <w:r>
        <w:rPr>
          <w:rFonts w:hint="eastAsia" w:ascii="仿宋" w:hAnsi="仿宋" w:eastAsia="仿宋" w:cs="仿宋"/>
          <w:sz w:val="32"/>
          <w:szCs w:val="32"/>
        </w:rPr>
        <w:t>运动员不设年龄和级别限制，同一场团体赛运动员不能兼项。</w:t>
      </w:r>
    </w:p>
    <w:p>
      <w:pPr>
        <w:pStyle w:val="8"/>
        <w:spacing w:line="560" w:lineRule="exact"/>
        <w:ind w:firstLine="648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3.1设区市单位组：以各设区市或县（区、市）为单位报名；</w:t>
      </w:r>
    </w:p>
    <w:p>
      <w:pPr>
        <w:pStyle w:val="8"/>
        <w:spacing w:line="560" w:lineRule="exact"/>
        <w:ind w:firstLine="960" w:firstLineChars="3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省产业单位组：以省属党政机关、企事业单位等为报名；</w:t>
      </w:r>
    </w:p>
    <w:p>
      <w:pPr>
        <w:pStyle w:val="8"/>
        <w:spacing w:line="56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团体报名单位：江西省党政机关、企事业单位、中央驻赣单位。各地市可允许按设（区）市或县（区、市）为单位报多支队伍参赛，但队员必须为本行政区域公务员或正式职员。省直、市属各企事业单位每支队伍允许2名外单位符合参赛条件的运动员代表本单位参赛，允许跨单位（系统）组联队，但联合组队单位（数）不得超过2个，同一单位（系统）可以报多支队伍参赛，但只允许单位正式职工代表本单位参赛。各运动员只能报名参加本次比赛的一个组别的团体赛，不得跨组别兼项参赛。</w:t>
      </w:r>
    </w:p>
    <w:p>
      <w:pPr>
        <w:pStyle w:val="8"/>
        <w:spacing w:line="56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5.乙组团体第一男子双打必须是197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日（含）以前出生（46岁以上）的运动员。第二男子双打允许45岁以上人员参加。</w:t>
      </w:r>
    </w:p>
    <w:p>
      <w:pPr>
        <w:pStyle w:val="8"/>
        <w:spacing w:line="56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6.运动员资格鉴定：所有运动员必须出具下列两项证明材料：（1）任职或聘任通知；（2）职工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社保缴纳证明</w:t>
      </w:r>
      <w:r>
        <w:rPr>
          <w:rFonts w:hint="eastAsia" w:ascii="仿宋" w:hAnsi="仿宋" w:eastAsia="仿宋" w:cs="仿宋"/>
          <w:sz w:val="32"/>
          <w:szCs w:val="32"/>
        </w:rPr>
        <w:t>。领队会议时交给组委会，缺则取消比赛资格。</w:t>
      </w:r>
    </w:p>
    <w:p>
      <w:pPr>
        <w:pStyle w:val="8"/>
        <w:spacing w:line="560" w:lineRule="exact"/>
        <w:ind w:firstLine="646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7.乙组每支队伍允许报一名领队，一名教练员，运动员6-8名。丙组每支队伍允许报一名领队，一名教练员，运动员6-8名。领队和教练可兼运动员，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但占运动员总数名额，</w:t>
      </w:r>
      <w:r>
        <w:rPr>
          <w:rFonts w:hint="eastAsia" w:ascii="仿宋" w:hAnsi="仿宋" w:eastAsia="仿宋" w:cs="仿宋"/>
          <w:sz w:val="32"/>
          <w:szCs w:val="32"/>
        </w:rPr>
        <w:t>报名时需要在队员名单中出现，否则无法参赛。</w:t>
      </w:r>
    </w:p>
    <w:p>
      <w:pPr>
        <w:pStyle w:val="8"/>
        <w:spacing w:line="560" w:lineRule="exact"/>
        <w:ind w:firstLine="646"/>
        <w:jc w:val="both"/>
        <w:rPr>
          <w:rFonts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8.参赛人员必须是18周岁以上60周岁以下，身体健康，无心脏病，高血压等病史的运动员，并由参赛单位或个人办理本次比赛期间的人身意外伤害险。保险凭证在赛前交给赛事组委会。否则不允许参赛。</w:t>
      </w:r>
    </w:p>
    <w:p>
      <w:pPr>
        <w:pStyle w:val="8"/>
        <w:spacing w:line="56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 w:cs="黑体"/>
          <w:sz w:val="32"/>
          <w:szCs w:val="32"/>
        </w:rPr>
        <w:t>、比赛规则及计分办法</w:t>
      </w:r>
    </w:p>
    <w:p>
      <w:pPr>
        <w:spacing w:line="560" w:lineRule="exact"/>
        <w:ind w:firstLine="640" w:firstLineChars="200"/>
        <w:rPr>
          <w:rFonts w:cs="宋体"/>
          <w:color w:val="000000"/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>
        <w:rPr>
          <w:rFonts w:hint="eastAsia" w:cs="宋体"/>
          <w:sz w:val="32"/>
          <w:szCs w:val="32"/>
        </w:rPr>
        <w:t>甲组</w:t>
      </w:r>
      <w:r>
        <w:rPr>
          <w:rFonts w:hint="eastAsia" w:ascii="仿宋_GB2312" w:eastAsia="仿宋_GB2312" w:cs="宋体"/>
          <w:color w:val="000000"/>
          <w:sz w:val="32"/>
          <w:szCs w:val="32"/>
        </w:rPr>
        <w:t>根据比赛当日实际到达赛场人数进行抽签分组，未到达赛场的队员不参与抽签，</w:t>
      </w:r>
      <w:r>
        <w:rPr>
          <w:rFonts w:hint="eastAsia" w:ascii="仿宋_GB2312" w:eastAsia="仿宋_GB2312"/>
          <w:color w:val="000000"/>
          <w:sz w:val="32"/>
          <w:szCs w:val="32"/>
        </w:rPr>
        <w:t>现场确定队伍数量和每队人数</w:t>
      </w:r>
      <w:r>
        <w:rPr>
          <w:rFonts w:hint="eastAsia" w:ascii="仿宋_GB2312" w:eastAsia="仿宋_GB2312" w:cs="宋体"/>
          <w:color w:val="000000"/>
          <w:sz w:val="32"/>
          <w:szCs w:val="32"/>
        </w:rPr>
        <w:t>，开赛后，若该队队伍人数调整而缺少队员，则</w:t>
      </w:r>
      <w:r>
        <w:rPr>
          <w:rFonts w:hint="eastAsia" w:ascii="仿宋_GB2312" w:eastAsia="仿宋_GB2312" w:cs="宋体"/>
          <w:color w:val="000000"/>
          <w:sz w:val="32"/>
          <w:szCs w:val="32"/>
          <w:lang w:eastAsia="zh-CN"/>
        </w:rPr>
        <w:t>视为</w:t>
      </w:r>
      <w:r>
        <w:rPr>
          <w:rFonts w:hint="eastAsia" w:ascii="仿宋_GB2312" w:eastAsia="仿宋_GB2312" w:cs="宋体"/>
          <w:color w:val="000000"/>
          <w:sz w:val="32"/>
          <w:szCs w:val="32"/>
        </w:rPr>
        <w:t>自动弃权该场比赛，并记录总成绩当中。</w:t>
      </w:r>
      <w:r>
        <w:rPr>
          <w:rFonts w:hint="eastAsia"/>
          <w:sz w:val="32"/>
          <w:szCs w:val="32"/>
        </w:rPr>
        <w:t>比赛决定名次规则</w:t>
      </w:r>
      <w:r>
        <w:rPr>
          <w:rFonts w:hint="eastAsia" w:cs="宋体"/>
          <w:color w:val="000000"/>
          <w:sz w:val="32"/>
          <w:szCs w:val="32"/>
        </w:rPr>
        <w:t>：</w:t>
      </w:r>
      <w:r>
        <w:rPr>
          <w:rFonts w:hint="eastAsia" w:cs="宋体"/>
          <w:sz w:val="32"/>
          <w:szCs w:val="32"/>
        </w:rPr>
        <w:t>胜方积3分，负方积1分。</w:t>
      </w:r>
      <w:r>
        <w:rPr>
          <w:rFonts w:hint="eastAsia" w:cs="宋体"/>
          <w:color w:val="000000"/>
          <w:sz w:val="32"/>
          <w:szCs w:val="32"/>
        </w:rPr>
        <w:t>按积分多少确定名次。如两队积分相同，则两队比赛胜方排前；如三队及三队以上队伍积分相同，则执行中国羽协审定的最新《羽毛球竞赛规则》和最新规定来确定名次。如再次出现相同，则增加一场双打附加赛决定名次，附加赛采取31分一局定胜负制。</w:t>
      </w:r>
    </w:p>
    <w:p>
      <w:pPr>
        <w:pStyle w:val="8"/>
        <w:numPr>
          <w:ilvl w:val="0"/>
          <w:numId w:val="3"/>
        </w:numPr>
        <w:spacing w:line="560" w:lineRule="exact"/>
        <w:ind w:firstLine="641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乙、丙组比赛分两个阶段：第一阶段，抽签分组，进行小组单循环比赛；第二阶段，按名次进行交叉淘汰；</w:t>
      </w:r>
    </w:p>
    <w:p>
      <w:pPr>
        <w:pStyle w:val="8"/>
        <w:numPr>
          <w:ilvl w:val="0"/>
          <w:numId w:val="3"/>
        </w:numPr>
        <w:spacing w:line="560" w:lineRule="exact"/>
        <w:ind w:firstLine="64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乙、丙组比赛决定名次规则：</w:t>
      </w:r>
    </w:p>
    <w:p>
      <w:pPr>
        <w:pStyle w:val="8"/>
        <w:spacing w:line="560" w:lineRule="exact"/>
        <w:ind w:left="64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（1）按获胜场数定名次，多者名次列前；</w:t>
      </w:r>
    </w:p>
    <w:p>
      <w:pPr>
        <w:pStyle w:val="8"/>
        <w:spacing w:line="560" w:lineRule="exact"/>
        <w:ind w:firstLine="64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（2）如两队获胜场数相等，则两者比赛的胜者名次列前；</w:t>
      </w:r>
    </w:p>
    <w:p>
      <w:pPr>
        <w:pStyle w:val="8"/>
        <w:spacing w:line="560" w:lineRule="exact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（3）如三队或三队以上获胜场数相等，则按在该组比赛的净胜局数定名次，多者列前；</w:t>
      </w:r>
    </w:p>
    <w:p>
      <w:pPr>
        <w:pStyle w:val="8"/>
        <w:kinsoku w:val="0"/>
        <w:overflowPunct w:val="0"/>
        <w:snapToGrid w:val="0"/>
        <w:spacing w:line="560" w:lineRule="exact"/>
        <w:ind w:firstLine="635"/>
        <w:jc w:val="both"/>
        <w:rPr>
          <w:rFonts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（4）计算净胜局数后，如还剩两队净胜局数相等，则两者间比赛的胜者名次列前；</w:t>
      </w:r>
    </w:p>
    <w:p>
      <w:pPr>
        <w:pStyle w:val="8"/>
        <w:kinsoku w:val="0"/>
        <w:overflowPunct w:val="0"/>
        <w:snapToGrid w:val="0"/>
        <w:spacing w:line="560" w:lineRule="exact"/>
        <w:ind w:firstLine="635"/>
        <w:jc w:val="both"/>
        <w:rPr>
          <w:rFonts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（5）计算净胜局数后，还剩三队或三队以上净胜局数相等，则按在该组比赛的净胜分数定名次；</w:t>
      </w:r>
    </w:p>
    <w:p>
      <w:pPr>
        <w:pStyle w:val="8"/>
        <w:spacing w:line="560" w:lineRule="exact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计算净胜分后，还剩两队净胜分数相等，则两者间比赛的胜者名次列前；</w:t>
      </w:r>
    </w:p>
    <w:p>
      <w:pPr>
        <w:pStyle w:val="8"/>
        <w:spacing w:line="560" w:lineRule="exact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（6）还有三队或三队以上净胜分数相等，则以抽签决定名次。</w:t>
      </w:r>
    </w:p>
    <w:p>
      <w:pPr>
        <w:tabs>
          <w:tab w:val="left" w:pos="426"/>
        </w:tabs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4.计分方法：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甲组团体：每盘比赛采用21分3局2胜制，当双方均为 20 分时，领先对方 2 分的一方赢得该局比赛；当双方均为 29 分时，先取得 30 分的一方赢得该局比赛。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>乙、丙组团体：比赛计分方法为每盘比赛采取一局定胜负制，每局31分，先到31分者获胜；小组赛打满3场，淘汰赛先赢2场的队伍</w:t>
      </w:r>
      <w:r>
        <w:rPr>
          <w:rFonts w:hint="eastAsia"/>
          <w:sz w:val="32"/>
          <w:szCs w:val="32"/>
          <w:lang w:val="en-US" w:eastAsia="zh-CN"/>
        </w:rPr>
        <w:t>则</w:t>
      </w:r>
      <w:r>
        <w:rPr>
          <w:rFonts w:hint="eastAsia"/>
          <w:sz w:val="32"/>
          <w:szCs w:val="32"/>
        </w:rPr>
        <w:t>获胜。出场顺序乙组为第一男子双打---混合双打---第二男子双打。丙组为男子双打---女子双打---</w:t>
      </w:r>
      <w:r>
        <w:rPr>
          <w:rFonts w:hint="eastAsia"/>
          <w:sz w:val="32"/>
          <w:szCs w:val="32"/>
          <w:lang w:val="en-US"/>
        </w:rPr>
        <w:t>混合双打</w:t>
      </w:r>
      <w:r>
        <w:rPr>
          <w:rFonts w:hint="eastAsia"/>
          <w:sz w:val="32"/>
          <w:szCs w:val="32"/>
        </w:rPr>
        <w:t>。</w:t>
      </w:r>
    </w:p>
    <w:p>
      <w:pPr>
        <w:pStyle w:val="8"/>
        <w:tabs>
          <w:tab w:val="left" w:pos="567"/>
        </w:tabs>
        <w:spacing w:line="56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5.比赛执行中国羽协审定的最新《羽毛球竞赛规则》。</w:t>
      </w:r>
    </w:p>
    <w:p>
      <w:pPr>
        <w:pStyle w:val="8"/>
        <w:spacing w:line="56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6.比赛使用球：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李宁D8羽毛球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8"/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7.运动员凭参赛证和中华人民共和国二代身份证上场比赛，缺证或临时身份证均不允许上场比赛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赛场检录处现场进行二代身份证真伪鉴别。</w:t>
      </w:r>
    </w:p>
    <w:p>
      <w:pPr>
        <w:pStyle w:val="8"/>
        <w:spacing w:line="56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>十</w:t>
      </w:r>
      <w:r>
        <w:rPr>
          <w:rFonts w:hint="eastAsia" w:ascii="黑体" w:hAnsi="黑体" w:eastAsia="黑体" w:cs="黑体"/>
          <w:sz w:val="32"/>
          <w:szCs w:val="32"/>
        </w:rPr>
        <w:t>、奖励办法</w:t>
      </w:r>
    </w:p>
    <w:p>
      <w:pPr>
        <w:pStyle w:val="8"/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总决赛</w:t>
      </w:r>
      <w:r>
        <w:rPr>
          <w:rFonts w:hint="eastAsia" w:ascii="仿宋" w:hAnsi="仿宋" w:eastAsia="仿宋" w:cs="仿宋"/>
          <w:sz w:val="32"/>
          <w:szCs w:val="32"/>
        </w:rPr>
        <w:t>甲、乙、丙各组均录取前八名，前三名分别颁发奖杯、奖牌及奖品，5-8名颁发奖品及证书。</w:t>
      </w:r>
    </w:p>
    <w:p>
      <w:pPr>
        <w:pStyle w:val="8"/>
        <w:spacing w:line="560" w:lineRule="exact"/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参赛队伍数量不足奖励名额的，均减一录取，不足3队则取消该组别比赛。</w:t>
      </w:r>
    </w:p>
    <w:p>
      <w:pPr>
        <w:pStyle w:val="8"/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、报名方式、时间</w:t>
      </w:r>
    </w:p>
    <w:p>
      <w:pPr>
        <w:pStyle w:val="8"/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报名截止时间：2022年12月25日17:00时；</w:t>
      </w:r>
    </w:p>
    <w:p>
      <w:pPr>
        <w:pStyle w:val="8"/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甲组报名：彭安萍  13617093722（同微信号）</w:t>
      </w:r>
    </w:p>
    <w:p>
      <w:pPr>
        <w:pStyle w:val="8"/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乙/丙组报名：汤海林  15397918289（同微信号）</w:t>
      </w:r>
    </w:p>
    <w:p>
      <w:pPr>
        <w:pStyle w:val="8"/>
        <w:spacing w:line="560" w:lineRule="exact"/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注：报名时，请将报名表盖章后扫描发给工作人员，并将证明材料一并发给工作人员。</w:t>
      </w:r>
    </w:p>
    <w:p>
      <w:pPr>
        <w:pStyle w:val="8"/>
        <w:spacing w:line="56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、交通、保险及食宿</w:t>
      </w:r>
    </w:p>
    <w:p>
      <w:pPr>
        <w:pStyle w:val="8"/>
        <w:spacing w:line="560" w:lineRule="exact"/>
        <w:ind w:firstLine="64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1.各单位自行安排交通、食宿、统一服装，费用自理。</w:t>
      </w:r>
    </w:p>
    <w:p>
      <w:pPr>
        <w:pStyle w:val="8"/>
        <w:spacing w:line="560" w:lineRule="exact"/>
        <w:ind w:firstLine="64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2.各参赛单位务必为参赛运动员购买比赛期间人身意外伤害保险。报到时将人身意外伤害保险原件交给组委会，未购买保险的单位取消参赛资格。</w:t>
      </w:r>
    </w:p>
    <w:p>
      <w:pPr>
        <w:pStyle w:val="8"/>
        <w:spacing w:line="56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十三、疫情防控</w:t>
      </w:r>
    </w:p>
    <w:p>
      <w:pPr>
        <w:pStyle w:val="8"/>
        <w:spacing w:line="560" w:lineRule="exact"/>
        <w:ind w:firstLine="64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严格落实疫情防控要求，根据举办地实际和疫情防控级别及防控工作具体要求，科学研判疫情防控风险，分级精准防控。</w:t>
      </w:r>
    </w:p>
    <w:p>
      <w:pPr>
        <w:pStyle w:val="8"/>
        <w:spacing w:line="56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、裁判员：本次比赛的裁判长和裁判员由组委会统一选派。</w:t>
      </w:r>
    </w:p>
    <w:p>
      <w:pPr>
        <w:pStyle w:val="8"/>
        <w:spacing w:line="56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、本规程最终解释权归大赛组委会，未尽事宜另行通知。</w:t>
      </w:r>
    </w:p>
    <w:p>
      <w:pPr>
        <w:pStyle w:val="8"/>
        <w:spacing w:line="560" w:lineRule="exact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jc w:val="both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/>
        <w:jc w:val="both"/>
        <w:textAlignment w:val="auto"/>
        <w:rPr>
          <w:rFonts w:hint="default" w:eastAsia="仿宋" w:cs="Times New Roman"/>
          <w:b/>
          <w:kern w:val="2"/>
          <w:sz w:val="30"/>
          <w:szCs w:val="30"/>
          <w:lang w:val="en-US" w:eastAsia="zh-CN" w:bidi="ar-SA"/>
        </w:rPr>
      </w:pPr>
      <w:bookmarkStart w:id="0" w:name="_GoBack"/>
      <w:bookmarkEnd w:id="0"/>
    </w:p>
    <w:sectPr>
      <w:pgSz w:w="11910" w:h="16840"/>
      <w:pgMar w:top="2098" w:right="1417" w:bottom="1984" w:left="158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E53FE3"/>
    <w:multiLevelType w:val="singleLevel"/>
    <w:tmpl w:val="89E53FE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C26721B"/>
    <w:multiLevelType w:val="singleLevel"/>
    <w:tmpl w:val="1C26721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7A98AA2"/>
    <w:multiLevelType w:val="singleLevel"/>
    <w:tmpl w:val="57A98AA2"/>
    <w:lvl w:ilvl="0" w:tentative="0">
      <w:start w:val="2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ZTJmNTlkNTgxYWJhM2E2ZGVmNDI1MTFhMjA4OGEifQ=="/>
  </w:docVars>
  <w:rsids>
    <w:rsidRoot w:val="00D15F2F"/>
    <w:rsid w:val="000C1E8D"/>
    <w:rsid w:val="001E20CC"/>
    <w:rsid w:val="007400F3"/>
    <w:rsid w:val="008A1DC3"/>
    <w:rsid w:val="00931191"/>
    <w:rsid w:val="009B374E"/>
    <w:rsid w:val="00D15F2F"/>
    <w:rsid w:val="00EE403A"/>
    <w:rsid w:val="011752E9"/>
    <w:rsid w:val="012B6B12"/>
    <w:rsid w:val="02FB1C5A"/>
    <w:rsid w:val="03501A34"/>
    <w:rsid w:val="0428436D"/>
    <w:rsid w:val="047E2FF6"/>
    <w:rsid w:val="05E07E34"/>
    <w:rsid w:val="05F05E87"/>
    <w:rsid w:val="05F81055"/>
    <w:rsid w:val="06700127"/>
    <w:rsid w:val="074D19DB"/>
    <w:rsid w:val="0782542A"/>
    <w:rsid w:val="092959CA"/>
    <w:rsid w:val="09804E5D"/>
    <w:rsid w:val="098E77EE"/>
    <w:rsid w:val="0BCA0996"/>
    <w:rsid w:val="0BF807B9"/>
    <w:rsid w:val="0CA978DD"/>
    <w:rsid w:val="0D645D91"/>
    <w:rsid w:val="0D953BA7"/>
    <w:rsid w:val="0E12747F"/>
    <w:rsid w:val="0ECD6DF7"/>
    <w:rsid w:val="0F3D7D1A"/>
    <w:rsid w:val="10AA4BB5"/>
    <w:rsid w:val="11754716"/>
    <w:rsid w:val="12C86253"/>
    <w:rsid w:val="14D25167"/>
    <w:rsid w:val="15814E81"/>
    <w:rsid w:val="15AC3867"/>
    <w:rsid w:val="15B146BC"/>
    <w:rsid w:val="15CE74DE"/>
    <w:rsid w:val="18AD4949"/>
    <w:rsid w:val="190B0C48"/>
    <w:rsid w:val="191050E6"/>
    <w:rsid w:val="19134B1B"/>
    <w:rsid w:val="192835A8"/>
    <w:rsid w:val="19622F5E"/>
    <w:rsid w:val="1BA1210E"/>
    <w:rsid w:val="1C153057"/>
    <w:rsid w:val="1C5F77AC"/>
    <w:rsid w:val="1D1E5794"/>
    <w:rsid w:val="1D61386B"/>
    <w:rsid w:val="1F974DE0"/>
    <w:rsid w:val="210C3CE4"/>
    <w:rsid w:val="225F3FB8"/>
    <w:rsid w:val="23580E32"/>
    <w:rsid w:val="23982FFC"/>
    <w:rsid w:val="24594F5D"/>
    <w:rsid w:val="252A4EF8"/>
    <w:rsid w:val="257D787F"/>
    <w:rsid w:val="260E66C5"/>
    <w:rsid w:val="26431591"/>
    <w:rsid w:val="267E0CAB"/>
    <w:rsid w:val="272C7C89"/>
    <w:rsid w:val="27437A5F"/>
    <w:rsid w:val="27CF3DDC"/>
    <w:rsid w:val="28C325CE"/>
    <w:rsid w:val="2ADB5B17"/>
    <w:rsid w:val="2BDA2747"/>
    <w:rsid w:val="2CB13509"/>
    <w:rsid w:val="2E4C1144"/>
    <w:rsid w:val="304D2B0A"/>
    <w:rsid w:val="30964551"/>
    <w:rsid w:val="30B85619"/>
    <w:rsid w:val="318C388B"/>
    <w:rsid w:val="334E50C4"/>
    <w:rsid w:val="34401528"/>
    <w:rsid w:val="34414B85"/>
    <w:rsid w:val="34565015"/>
    <w:rsid w:val="346B180D"/>
    <w:rsid w:val="35577297"/>
    <w:rsid w:val="358D2CB9"/>
    <w:rsid w:val="374B5079"/>
    <w:rsid w:val="37E8530D"/>
    <w:rsid w:val="37F54B45"/>
    <w:rsid w:val="39A26F8A"/>
    <w:rsid w:val="39D2346D"/>
    <w:rsid w:val="3A320707"/>
    <w:rsid w:val="3A970136"/>
    <w:rsid w:val="3C2E58A0"/>
    <w:rsid w:val="3CD0727F"/>
    <w:rsid w:val="3D183557"/>
    <w:rsid w:val="3EE7084B"/>
    <w:rsid w:val="3F2764C3"/>
    <w:rsid w:val="3F47638F"/>
    <w:rsid w:val="3FC70FFC"/>
    <w:rsid w:val="41FF4F3E"/>
    <w:rsid w:val="43B2133C"/>
    <w:rsid w:val="442455E0"/>
    <w:rsid w:val="45217AA4"/>
    <w:rsid w:val="45CE4C92"/>
    <w:rsid w:val="465D1328"/>
    <w:rsid w:val="467603F0"/>
    <w:rsid w:val="471D30C7"/>
    <w:rsid w:val="47AA76FA"/>
    <w:rsid w:val="49AA1C33"/>
    <w:rsid w:val="4B43646F"/>
    <w:rsid w:val="4BC261AB"/>
    <w:rsid w:val="4C1A52C1"/>
    <w:rsid w:val="4D404B05"/>
    <w:rsid w:val="508C1D70"/>
    <w:rsid w:val="50FA2240"/>
    <w:rsid w:val="518014CC"/>
    <w:rsid w:val="51AE5512"/>
    <w:rsid w:val="51D71EAC"/>
    <w:rsid w:val="52AD1010"/>
    <w:rsid w:val="52C97B97"/>
    <w:rsid w:val="547C7ECD"/>
    <w:rsid w:val="55CA65E1"/>
    <w:rsid w:val="563D798B"/>
    <w:rsid w:val="569F23F4"/>
    <w:rsid w:val="56D41B0D"/>
    <w:rsid w:val="571D061D"/>
    <w:rsid w:val="57F519BC"/>
    <w:rsid w:val="596E26B5"/>
    <w:rsid w:val="5BB403BB"/>
    <w:rsid w:val="5D6F1866"/>
    <w:rsid w:val="5DF833C4"/>
    <w:rsid w:val="5EDF58A3"/>
    <w:rsid w:val="5FAD709A"/>
    <w:rsid w:val="5FFB3BCD"/>
    <w:rsid w:val="601479AF"/>
    <w:rsid w:val="606B4D66"/>
    <w:rsid w:val="60FF1E99"/>
    <w:rsid w:val="61A86601"/>
    <w:rsid w:val="61B50D1E"/>
    <w:rsid w:val="62B051A5"/>
    <w:rsid w:val="62E1266B"/>
    <w:rsid w:val="62E52446"/>
    <w:rsid w:val="63065A53"/>
    <w:rsid w:val="638F123E"/>
    <w:rsid w:val="64D96E46"/>
    <w:rsid w:val="664408C2"/>
    <w:rsid w:val="669859E5"/>
    <w:rsid w:val="66AB3844"/>
    <w:rsid w:val="683F013E"/>
    <w:rsid w:val="68992505"/>
    <w:rsid w:val="6A8600F9"/>
    <w:rsid w:val="6C411B2C"/>
    <w:rsid w:val="6D4F03BF"/>
    <w:rsid w:val="6EDB5C6E"/>
    <w:rsid w:val="70DF1913"/>
    <w:rsid w:val="76FE28D9"/>
    <w:rsid w:val="772354DD"/>
    <w:rsid w:val="781F0D5E"/>
    <w:rsid w:val="7B505222"/>
    <w:rsid w:val="7C1E44D3"/>
    <w:rsid w:val="7C942151"/>
    <w:rsid w:val="7CCA7681"/>
    <w:rsid w:val="7E332A2E"/>
    <w:rsid w:val="7F3640C8"/>
    <w:rsid w:val="AD9AA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640" w:right="639"/>
      <w:jc w:val="center"/>
      <w:outlineLvl w:val="0"/>
    </w:pPr>
    <w:rPr>
      <w:rFonts w:ascii="黑体" w:hAnsi="黑体" w:eastAsia="黑体" w:cs="黑体"/>
      <w:sz w:val="44"/>
      <w:szCs w:val="44"/>
    </w:rPr>
  </w:style>
  <w:style w:type="paragraph" w:styleId="3">
    <w:name w:val="heading 2"/>
    <w:basedOn w:val="1"/>
    <w:next w:val="1"/>
    <w:qFormat/>
    <w:uiPriority w:val="1"/>
    <w:pPr>
      <w:spacing w:before="23"/>
      <w:ind w:left="2092" w:right="830" w:hanging="1260"/>
      <w:outlineLvl w:val="1"/>
    </w:pPr>
    <w:rPr>
      <w:rFonts w:ascii="黑体" w:hAnsi="黑体" w:eastAsia="黑体" w:cs="黑体"/>
      <w:sz w:val="36"/>
      <w:szCs w:val="36"/>
    </w:rPr>
  </w:style>
  <w:style w:type="paragraph" w:styleId="4">
    <w:name w:val="heading 3"/>
    <w:basedOn w:val="1"/>
    <w:next w:val="1"/>
    <w:qFormat/>
    <w:uiPriority w:val="1"/>
    <w:pPr>
      <w:ind w:left="640"/>
      <w:outlineLvl w:val="2"/>
    </w:pPr>
    <w:rPr>
      <w:b/>
      <w:bCs/>
      <w:sz w:val="32"/>
      <w:szCs w:val="32"/>
      <w:u w:val="single" w:color="00000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640"/>
    </w:pPr>
    <w:rPr>
      <w:sz w:val="32"/>
      <w:szCs w:val="32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rPr>
      <w:rFonts w:ascii="宋体" w:hAnsi="宋体" w:eastAsia="宋体" w:cs="宋体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ind w:left="640" w:firstLine="640"/>
    </w:pPr>
  </w:style>
  <w:style w:type="paragraph" w:customStyle="1" w:styleId="14">
    <w:name w:val="Table Paragraph"/>
    <w:basedOn w:val="1"/>
    <w:qFormat/>
    <w:uiPriority w:val="1"/>
    <w:rPr>
      <w:rFonts w:ascii="宋体" w:hAnsi="宋体" w:eastAsia="宋体" w:cs="宋体"/>
    </w:rPr>
  </w:style>
  <w:style w:type="character" w:customStyle="1" w:styleId="15">
    <w:name w:val="NormalCharacter"/>
    <w:qFormat/>
    <w:uiPriority w:val="0"/>
  </w:style>
  <w:style w:type="character" w:customStyle="1" w:styleId="16">
    <w:name w:val="页眉 Char"/>
    <w:basedOn w:val="11"/>
    <w:link w:val="7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7">
    <w:name w:val="页脚 Char"/>
    <w:basedOn w:val="11"/>
    <w:link w:val="6"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2816</Words>
  <Characters>2920</Characters>
  <Lines>36</Lines>
  <Paragraphs>10</Paragraphs>
  <TotalTime>22</TotalTime>
  <ScaleCrop>false</ScaleCrop>
  <LinksUpToDate>false</LinksUpToDate>
  <CharactersWithSpaces>2996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2021-03-01T16:22:00Z</dcterms:created>
  <dc:creator>asus</dc:creator>
  <cp:lastModifiedBy>是二尧啊</cp:lastModifiedBy>
  <cp:lastPrinted>2022-12-08T11:01:00Z</cp:lastPrinted>
  <dcterms:modified xsi:type="dcterms:W3CDTF">2022-12-09T09:36:16Z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2021-03-01T00:00:00Z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9F23F81138834F4ABA6258E7DE121158</vt:lpwstr>
  </property>
</Properties>
</file>